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B1A2D7" w14:textId="77777777" w:rsidR="0017791F" w:rsidRPr="00261A3B" w:rsidRDefault="0017791F" w:rsidP="0017791F">
      <w:pPr>
        <w:rPr>
          <w:rFonts w:ascii="Arial" w:hAnsi="Arial" w:cs="Arial"/>
          <w:b/>
          <w:i/>
          <w:lang w:val="en-US"/>
        </w:rPr>
      </w:pPr>
      <w:r w:rsidRPr="00261A3B">
        <w:rPr>
          <w:rFonts w:ascii="Arial" w:hAnsi="Arial" w:cs="Arial"/>
          <w:b/>
        </w:rPr>
        <w:t>Supplementary file</w:t>
      </w:r>
      <w:r>
        <w:rPr>
          <w:rFonts w:ascii="Arial" w:hAnsi="Arial" w:cs="Arial"/>
          <w:b/>
        </w:rPr>
        <w:t xml:space="preserve"> 2</w:t>
      </w:r>
      <w:r>
        <w:rPr>
          <w:rFonts w:ascii="Arial" w:hAnsi="Arial" w:cs="Arial"/>
        </w:rPr>
        <w:t xml:space="preserve"> </w:t>
      </w:r>
      <w:r>
        <w:rPr>
          <w:rFonts w:ascii="Arial" w:hAnsi="Arial" w:cs="Arial"/>
          <w:lang w:val="en-US"/>
        </w:rPr>
        <w:t>G</w:t>
      </w:r>
      <w:r w:rsidRPr="00261A3B">
        <w:rPr>
          <w:rFonts w:ascii="Arial" w:hAnsi="Arial" w:cs="Arial"/>
          <w:lang w:val="en-US"/>
        </w:rPr>
        <w:t>lossary of the main approaches and methodologies for promoting engagement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0"/>
        <w:gridCol w:w="2685"/>
        <w:gridCol w:w="5072"/>
      </w:tblGrid>
      <w:tr w:rsidR="0017791F" w:rsidRPr="0017791F" w14:paraId="074968B4" w14:textId="77777777" w:rsidTr="001A0F50">
        <w:trPr>
          <w:trHeight w:val="537"/>
        </w:trPr>
        <w:tc>
          <w:tcPr>
            <w:tcW w:w="1990" w:type="dxa"/>
          </w:tcPr>
          <w:p w14:paraId="38C0D88A" w14:textId="77777777" w:rsidR="0017791F" w:rsidRPr="0017791F" w:rsidRDefault="0017791F" w:rsidP="001A0F50">
            <w:pPr>
              <w:contextualSpacing/>
              <w:jc w:val="center"/>
              <w:rPr>
                <w:rFonts w:ascii="Arial" w:hAnsi="Arial" w:cs="Arial"/>
                <w:b/>
                <w:sz w:val="20"/>
                <w:szCs w:val="20"/>
              </w:rPr>
            </w:pPr>
            <w:r w:rsidRPr="0017791F">
              <w:rPr>
                <w:rFonts w:ascii="Arial" w:hAnsi="Arial" w:cs="Arial"/>
                <w:b/>
                <w:sz w:val="20"/>
                <w:szCs w:val="20"/>
              </w:rPr>
              <w:t>Level of intervention</w:t>
            </w:r>
          </w:p>
        </w:tc>
        <w:tc>
          <w:tcPr>
            <w:tcW w:w="2685" w:type="dxa"/>
            <w:shd w:val="clear" w:color="auto" w:fill="auto"/>
            <w:vAlign w:val="center"/>
          </w:tcPr>
          <w:p w14:paraId="593FF615" w14:textId="77777777" w:rsidR="0017791F" w:rsidRPr="0017791F" w:rsidRDefault="0017791F" w:rsidP="001A0F50">
            <w:pPr>
              <w:contextualSpacing/>
              <w:jc w:val="center"/>
              <w:rPr>
                <w:rFonts w:ascii="Arial" w:hAnsi="Arial" w:cs="Arial"/>
                <w:b/>
                <w:sz w:val="20"/>
                <w:szCs w:val="20"/>
              </w:rPr>
            </w:pPr>
            <w:r w:rsidRPr="0017791F">
              <w:rPr>
                <w:rFonts w:ascii="Arial" w:hAnsi="Arial" w:cs="Arial"/>
                <w:b/>
                <w:sz w:val="20"/>
                <w:szCs w:val="20"/>
              </w:rPr>
              <w:t>Approach/</w:t>
            </w:r>
          </w:p>
          <w:p w14:paraId="05D05634" w14:textId="77777777" w:rsidR="0017791F" w:rsidRPr="0017791F" w:rsidRDefault="0017791F" w:rsidP="001A0F50">
            <w:pPr>
              <w:contextualSpacing/>
              <w:jc w:val="center"/>
              <w:rPr>
                <w:rFonts w:ascii="Arial" w:hAnsi="Arial" w:cs="Arial"/>
                <w:b/>
                <w:sz w:val="20"/>
                <w:szCs w:val="20"/>
              </w:rPr>
            </w:pPr>
            <w:r w:rsidRPr="0017791F">
              <w:rPr>
                <w:rFonts w:ascii="Arial" w:hAnsi="Arial" w:cs="Arial"/>
                <w:b/>
                <w:sz w:val="20"/>
                <w:szCs w:val="20"/>
              </w:rPr>
              <w:t>Methodology</w:t>
            </w:r>
          </w:p>
        </w:tc>
        <w:tc>
          <w:tcPr>
            <w:tcW w:w="5072" w:type="dxa"/>
            <w:shd w:val="clear" w:color="auto" w:fill="auto"/>
            <w:vAlign w:val="center"/>
          </w:tcPr>
          <w:p w14:paraId="2487C2D0" w14:textId="77777777" w:rsidR="0017791F" w:rsidRPr="0017791F" w:rsidRDefault="0017791F" w:rsidP="001A0F50">
            <w:pPr>
              <w:contextualSpacing/>
              <w:jc w:val="center"/>
              <w:rPr>
                <w:rFonts w:ascii="Arial" w:hAnsi="Arial" w:cs="Arial"/>
                <w:b/>
                <w:sz w:val="20"/>
                <w:szCs w:val="20"/>
              </w:rPr>
            </w:pPr>
            <w:r w:rsidRPr="0017791F">
              <w:rPr>
                <w:rFonts w:ascii="Arial" w:hAnsi="Arial" w:cs="Arial"/>
                <w:b/>
                <w:sz w:val="20"/>
                <w:szCs w:val="20"/>
              </w:rPr>
              <w:t>Definition</w:t>
            </w:r>
          </w:p>
        </w:tc>
      </w:tr>
      <w:tr w:rsidR="0017791F" w:rsidRPr="0017791F" w14:paraId="23EF5AB6" w14:textId="77777777" w:rsidTr="001A0F50">
        <w:trPr>
          <w:trHeight w:val="661"/>
        </w:trPr>
        <w:tc>
          <w:tcPr>
            <w:tcW w:w="1990" w:type="dxa"/>
            <w:vMerge w:val="restart"/>
          </w:tcPr>
          <w:p w14:paraId="26426B47" w14:textId="77777777" w:rsidR="0017791F" w:rsidRPr="0017791F" w:rsidRDefault="0017791F" w:rsidP="001A0F50">
            <w:pPr>
              <w:contextualSpacing/>
              <w:jc w:val="both"/>
              <w:rPr>
                <w:rFonts w:ascii="Arial" w:hAnsi="Arial" w:cs="Arial"/>
                <w:b/>
                <w:sz w:val="20"/>
                <w:szCs w:val="20"/>
              </w:rPr>
            </w:pPr>
            <w:r w:rsidRPr="0017791F">
              <w:rPr>
                <w:rFonts w:ascii="Arial" w:hAnsi="Arial" w:cs="Arial"/>
                <w:b/>
                <w:sz w:val="20"/>
                <w:szCs w:val="20"/>
              </w:rPr>
              <w:t xml:space="preserve">Patient/caregiver </w:t>
            </w:r>
          </w:p>
        </w:tc>
        <w:tc>
          <w:tcPr>
            <w:tcW w:w="2685" w:type="dxa"/>
            <w:shd w:val="clear" w:color="auto" w:fill="auto"/>
          </w:tcPr>
          <w:p w14:paraId="5D1A4ADF" w14:textId="77777777" w:rsidR="0017791F" w:rsidRPr="0017791F" w:rsidRDefault="0017791F" w:rsidP="001A0F50">
            <w:pPr>
              <w:contextualSpacing/>
              <w:jc w:val="both"/>
              <w:rPr>
                <w:rFonts w:ascii="Arial" w:hAnsi="Arial" w:cs="Arial"/>
                <w:b/>
                <w:sz w:val="20"/>
                <w:szCs w:val="20"/>
              </w:rPr>
            </w:pPr>
            <w:r w:rsidRPr="0017791F">
              <w:rPr>
                <w:rFonts w:ascii="Arial" w:hAnsi="Arial" w:cs="Arial"/>
                <w:b/>
                <w:sz w:val="20"/>
                <w:szCs w:val="20"/>
              </w:rPr>
              <w:t>MOTIVATIONAL INTERVIEWING</w:t>
            </w:r>
          </w:p>
          <w:p w14:paraId="54B7432C" w14:textId="77777777" w:rsidR="0017791F" w:rsidRPr="0017791F" w:rsidRDefault="0017791F" w:rsidP="001A0F50">
            <w:pPr>
              <w:contextualSpacing/>
              <w:rPr>
                <w:rFonts w:ascii="Arial" w:hAnsi="Arial" w:cs="Arial"/>
                <w:b/>
                <w:sz w:val="20"/>
                <w:szCs w:val="20"/>
              </w:rPr>
            </w:pPr>
          </w:p>
        </w:tc>
        <w:tc>
          <w:tcPr>
            <w:tcW w:w="5072" w:type="dxa"/>
            <w:shd w:val="clear" w:color="auto" w:fill="auto"/>
          </w:tcPr>
          <w:p w14:paraId="1598D9FC"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Motivational interviewing is a mean to help the person change his problematic </w:t>
            </w:r>
            <w:r w:rsidR="00B10353" w:rsidRPr="0017791F">
              <w:rPr>
                <w:rFonts w:ascii="Arial" w:hAnsi="Arial" w:cs="Arial"/>
                <w:sz w:val="20"/>
                <w:szCs w:val="20"/>
                <w:lang w:val="en-US"/>
              </w:rPr>
              <w:t>behaviors</w:t>
            </w:r>
            <w:r w:rsidRPr="0017791F">
              <w:rPr>
                <w:rFonts w:ascii="Arial" w:hAnsi="Arial" w:cs="Arial"/>
                <w:sz w:val="20"/>
                <w:szCs w:val="20"/>
                <w:lang w:val="en-US"/>
              </w:rPr>
              <w:t xml:space="preserve"> (for example, substance abuse), by becoming more aware and act on the motivations underlying them.</w:t>
            </w:r>
          </w:p>
        </w:tc>
      </w:tr>
      <w:tr w:rsidR="0017791F" w:rsidRPr="0017791F" w14:paraId="7E18F84B" w14:textId="77777777" w:rsidTr="001A0F50">
        <w:trPr>
          <w:trHeight w:val="661"/>
        </w:trPr>
        <w:tc>
          <w:tcPr>
            <w:tcW w:w="1990" w:type="dxa"/>
            <w:vMerge/>
          </w:tcPr>
          <w:p w14:paraId="3077BA81" w14:textId="77777777" w:rsidR="0017791F" w:rsidRPr="0017791F" w:rsidRDefault="0017791F" w:rsidP="001A0F50">
            <w:pPr>
              <w:contextualSpacing/>
              <w:jc w:val="both"/>
              <w:rPr>
                <w:rFonts w:ascii="Arial" w:hAnsi="Arial" w:cs="Arial"/>
                <w:b/>
                <w:sz w:val="20"/>
                <w:szCs w:val="20"/>
                <w:lang w:val="en-US"/>
              </w:rPr>
            </w:pPr>
          </w:p>
        </w:tc>
        <w:tc>
          <w:tcPr>
            <w:tcW w:w="2685" w:type="dxa"/>
            <w:shd w:val="clear" w:color="auto" w:fill="auto"/>
          </w:tcPr>
          <w:p w14:paraId="7C3ABE27" w14:textId="77777777" w:rsidR="0017791F" w:rsidRPr="0017791F" w:rsidRDefault="0017791F" w:rsidP="001A0F50">
            <w:pPr>
              <w:contextualSpacing/>
              <w:rPr>
                <w:rFonts w:ascii="Arial" w:hAnsi="Arial" w:cs="Arial"/>
                <w:b/>
                <w:sz w:val="20"/>
                <w:szCs w:val="20"/>
              </w:rPr>
            </w:pPr>
            <w:r w:rsidRPr="0017791F">
              <w:rPr>
                <w:rFonts w:ascii="Arial" w:hAnsi="Arial" w:cs="Arial"/>
                <w:b/>
                <w:sz w:val="20"/>
                <w:szCs w:val="20"/>
              </w:rPr>
              <w:t>THERAPEUTIC EDUCATION</w:t>
            </w:r>
          </w:p>
          <w:p w14:paraId="749DCF75" w14:textId="77777777" w:rsidR="0017791F" w:rsidRPr="0017791F" w:rsidRDefault="0017791F" w:rsidP="001A0F50">
            <w:pPr>
              <w:contextualSpacing/>
              <w:jc w:val="both"/>
              <w:rPr>
                <w:rFonts w:ascii="Arial" w:hAnsi="Arial" w:cs="Arial"/>
                <w:b/>
                <w:sz w:val="20"/>
                <w:szCs w:val="20"/>
              </w:rPr>
            </w:pPr>
          </w:p>
        </w:tc>
        <w:tc>
          <w:tcPr>
            <w:tcW w:w="5072" w:type="dxa"/>
            <w:shd w:val="clear" w:color="auto" w:fill="auto"/>
          </w:tcPr>
          <w:p w14:paraId="652CADEB"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Therapeutic Education allows the person to acquire and maintain the skills and competences that help him live with his illness, in the most effective way. Education includes organized activities of </w:t>
            </w:r>
            <w:r w:rsidR="00B10353" w:rsidRPr="0017791F">
              <w:rPr>
                <w:rFonts w:ascii="Arial" w:hAnsi="Arial" w:cs="Arial"/>
                <w:sz w:val="20"/>
                <w:szCs w:val="20"/>
                <w:lang w:val="en-US"/>
              </w:rPr>
              <w:t>sensitization</w:t>
            </w:r>
            <w:r w:rsidRPr="0017791F">
              <w:rPr>
                <w:rFonts w:ascii="Arial" w:hAnsi="Arial" w:cs="Arial"/>
                <w:sz w:val="20"/>
                <w:szCs w:val="20"/>
                <w:lang w:val="en-US"/>
              </w:rPr>
              <w:t xml:space="preserve">, information, learning of self-management regarding the illness, prescribed treatment, therapies, hospital and cure context and the information regarding the organization and the health and illness </w:t>
            </w:r>
            <w:r w:rsidR="00B10353" w:rsidRPr="0017791F">
              <w:rPr>
                <w:rFonts w:ascii="Arial" w:hAnsi="Arial" w:cs="Arial"/>
                <w:sz w:val="20"/>
                <w:szCs w:val="20"/>
                <w:lang w:val="en-US"/>
              </w:rPr>
              <w:t>behaviors</w:t>
            </w:r>
            <w:r w:rsidRPr="0017791F">
              <w:rPr>
                <w:rFonts w:ascii="Arial" w:hAnsi="Arial" w:cs="Arial"/>
                <w:sz w:val="20"/>
                <w:szCs w:val="20"/>
                <w:lang w:val="en-US"/>
              </w:rPr>
              <w:t xml:space="preserve">. It’s designed to help people and their family understand the illness and the treatment, cooperate with the healthcare professionals, live in a healthier way and maintain or improve their quality of life. Therapeutic education trains the individual with an illness so that he can acquire an adequate “knowledge, know-how, and know-how-to-be” to reach a balance between his life and the optimal control of the health condition. This is a continuous process that is an integrating part of the curing process. </w:t>
            </w:r>
          </w:p>
        </w:tc>
      </w:tr>
      <w:tr w:rsidR="0017791F" w:rsidRPr="0017791F" w14:paraId="45523BF0" w14:textId="77777777" w:rsidTr="001A0F50">
        <w:trPr>
          <w:trHeight w:val="661"/>
        </w:trPr>
        <w:tc>
          <w:tcPr>
            <w:tcW w:w="1990" w:type="dxa"/>
            <w:vMerge/>
          </w:tcPr>
          <w:p w14:paraId="1EFA52FA" w14:textId="77777777" w:rsidR="0017791F" w:rsidRPr="0017791F" w:rsidRDefault="0017791F" w:rsidP="001A0F50">
            <w:pPr>
              <w:contextualSpacing/>
              <w:jc w:val="both"/>
              <w:rPr>
                <w:rFonts w:ascii="Arial" w:hAnsi="Arial" w:cs="Arial"/>
                <w:b/>
                <w:sz w:val="20"/>
                <w:szCs w:val="20"/>
                <w:lang w:val="en-US"/>
              </w:rPr>
            </w:pPr>
          </w:p>
        </w:tc>
        <w:tc>
          <w:tcPr>
            <w:tcW w:w="2685" w:type="dxa"/>
            <w:shd w:val="clear" w:color="auto" w:fill="auto"/>
          </w:tcPr>
          <w:p w14:paraId="044E12DF" w14:textId="77777777" w:rsidR="0017791F" w:rsidRPr="0017791F" w:rsidRDefault="0017791F" w:rsidP="001A0F50">
            <w:pPr>
              <w:contextualSpacing/>
              <w:jc w:val="both"/>
              <w:rPr>
                <w:rFonts w:ascii="Arial" w:hAnsi="Arial" w:cs="Arial"/>
                <w:b/>
                <w:sz w:val="20"/>
                <w:szCs w:val="20"/>
              </w:rPr>
            </w:pPr>
            <w:r w:rsidRPr="0017791F">
              <w:rPr>
                <w:rFonts w:ascii="Arial" w:hAnsi="Arial" w:cs="Arial"/>
                <w:b/>
                <w:sz w:val="20"/>
                <w:szCs w:val="20"/>
              </w:rPr>
              <w:t xml:space="preserve">PEER EDUCATION </w:t>
            </w:r>
          </w:p>
        </w:tc>
        <w:tc>
          <w:tcPr>
            <w:tcW w:w="5072" w:type="dxa"/>
            <w:shd w:val="clear" w:color="auto" w:fill="auto"/>
          </w:tcPr>
          <w:p w14:paraId="4236A484"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In peer education, ad adequately trained individual (peer trainer) launches training activities with other peers, which are people with roughly the same age, working condition, gender, status, culture or life experiences. Peer education is part of the “social mediation” learning methods along with cooperative learning and peer tutoring. As a method of intervention in the field of health promotion and more in general in prevention of at-risk </w:t>
            </w:r>
            <w:r w:rsidR="00B10353" w:rsidRPr="0017791F">
              <w:rPr>
                <w:rFonts w:ascii="Arial" w:hAnsi="Arial" w:cs="Arial"/>
                <w:sz w:val="20"/>
                <w:szCs w:val="20"/>
                <w:lang w:val="en-US"/>
              </w:rPr>
              <w:t>behaviors</w:t>
            </w:r>
            <w:r w:rsidRPr="0017791F">
              <w:rPr>
                <w:rFonts w:ascii="Arial" w:hAnsi="Arial" w:cs="Arial"/>
                <w:sz w:val="20"/>
                <w:szCs w:val="20"/>
                <w:lang w:val="en-US"/>
              </w:rPr>
              <w:t>, it is –according to some authors- more appropriately translated to “peer-prevention”. These educational activities aim to strengthen, amongst peers, knowledge</w:t>
            </w:r>
            <w:proofErr w:type="gramStart"/>
            <w:r w:rsidRPr="0017791F">
              <w:rPr>
                <w:rFonts w:ascii="Arial" w:hAnsi="Arial" w:cs="Arial"/>
                <w:sz w:val="20"/>
                <w:szCs w:val="20"/>
                <w:lang w:val="en-US"/>
              </w:rPr>
              <w:t>,  attitudes</w:t>
            </w:r>
            <w:proofErr w:type="gramEnd"/>
            <w:r w:rsidRPr="0017791F">
              <w:rPr>
                <w:rFonts w:ascii="Arial" w:hAnsi="Arial" w:cs="Arial"/>
                <w:sz w:val="20"/>
                <w:szCs w:val="20"/>
                <w:lang w:val="en-US"/>
              </w:rPr>
              <w:t xml:space="preserve">, and skills that allow the making of responsible choices that are aware of one’s own health. Peer education aims to broaden the window of actions that a person has, and to help the person develop critical thinking on the </w:t>
            </w:r>
            <w:r w:rsidR="00B10353" w:rsidRPr="0017791F">
              <w:rPr>
                <w:rFonts w:ascii="Arial" w:hAnsi="Arial" w:cs="Arial"/>
                <w:sz w:val="20"/>
                <w:szCs w:val="20"/>
                <w:lang w:val="en-US"/>
              </w:rPr>
              <w:t>behaviors</w:t>
            </w:r>
            <w:r w:rsidRPr="0017791F">
              <w:rPr>
                <w:rFonts w:ascii="Arial" w:hAnsi="Arial" w:cs="Arial"/>
                <w:sz w:val="20"/>
                <w:szCs w:val="20"/>
                <w:lang w:val="en-US"/>
              </w:rPr>
              <w:t xml:space="preserve"> that could impede his physical, psychological and social wellbeing and a good quality of life.</w:t>
            </w:r>
          </w:p>
        </w:tc>
      </w:tr>
      <w:tr w:rsidR="0017791F" w:rsidRPr="0017791F" w14:paraId="23FAAE29" w14:textId="77777777" w:rsidTr="001A0F50">
        <w:trPr>
          <w:trHeight w:val="661"/>
        </w:trPr>
        <w:tc>
          <w:tcPr>
            <w:tcW w:w="1990" w:type="dxa"/>
          </w:tcPr>
          <w:p w14:paraId="7ED233CF" w14:textId="77777777" w:rsidR="0017791F" w:rsidRPr="0017791F" w:rsidRDefault="0017791F" w:rsidP="001A0F50">
            <w:pPr>
              <w:pStyle w:val="Default"/>
              <w:contextualSpacing/>
              <w:jc w:val="both"/>
              <w:rPr>
                <w:rFonts w:ascii="Arial" w:hAnsi="Arial" w:cs="Arial"/>
                <w:b/>
                <w:bCs/>
                <w:color w:val="auto"/>
                <w:sz w:val="20"/>
                <w:szCs w:val="20"/>
                <w:lang w:val="en-GB"/>
              </w:rPr>
            </w:pPr>
            <w:r w:rsidRPr="0017791F">
              <w:rPr>
                <w:rFonts w:ascii="Arial" w:hAnsi="Arial" w:cs="Arial"/>
                <w:b/>
                <w:sz w:val="20"/>
                <w:szCs w:val="20"/>
              </w:rPr>
              <w:t xml:space="preserve">Patient/caregiver </w:t>
            </w:r>
          </w:p>
        </w:tc>
        <w:tc>
          <w:tcPr>
            <w:tcW w:w="2685" w:type="dxa"/>
            <w:shd w:val="clear" w:color="auto" w:fill="auto"/>
          </w:tcPr>
          <w:p w14:paraId="611A934B" w14:textId="77777777" w:rsidR="0017791F" w:rsidRPr="0017791F" w:rsidRDefault="0017791F" w:rsidP="001A0F50">
            <w:pPr>
              <w:contextualSpacing/>
              <w:jc w:val="both"/>
              <w:rPr>
                <w:rFonts w:ascii="Arial" w:hAnsi="Arial" w:cs="Arial"/>
                <w:b/>
                <w:sz w:val="20"/>
                <w:szCs w:val="20"/>
              </w:rPr>
            </w:pPr>
            <w:r w:rsidRPr="0017791F">
              <w:rPr>
                <w:rFonts w:ascii="Arial" w:hAnsi="Arial" w:cs="Arial"/>
                <w:b/>
                <w:sz w:val="20"/>
                <w:szCs w:val="20"/>
              </w:rPr>
              <w:t>MINDFULNESS</w:t>
            </w:r>
          </w:p>
          <w:p w14:paraId="53919144" w14:textId="77777777" w:rsidR="0017791F" w:rsidRPr="0017791F" w:rsidRDefault="0017791F" w:rsidP="001A0F50">
            <w:pPr>
              <w:pStyle w:val="Default"/>
              <w:contextualSpacing/>
              <w:jc w:val="both"/>
              <w:rPr>
                <w:rFonts w:ascii="Arial" w:hAnsi="Arial" w:cs="Arial"/>
                <w:b/>
                <w:bCs/>
                <w:color w:val="auto"/>
                <w:sz w:val="20"/>
                <w:szCs w:val="20"/>
                <w:lang w:val="en-GB"/>
              </w:rPr>
            </w:pPr>
          </w:p>
        </w:tc>
        <w:tc>
          <w:tcPr>
            <w:tcW w:w="5072" w:type="dxa"/>
            <w:shd w:val="clear" w:color="auto" w:fill="auto"/>
          </w:tcPr>
          <w:p w14:paraId="127EC28F"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The theory of mindfulness starts from the rediscovery of methods of psychological changes shaped around intuitive means of self-knowledge, in addition to discursive and verbal methods of </w:t>
            </w:r>
            <w:proofErr w:type="gramStart"/>
            <w:r w:rsidRPr="0017791F">
              <w:rPr>
                <w:rFonts w:ascii="Arial" w:hAnsi="Arial" w:cs="Arial"/>
                <w:sz w:val="20"/>
                <w:szCs w:val="20"/>
                <w:lang w:val="en-US"/>
              </w:rPr>
              <w:t>problem-solving</w:t>
            </w:r>
            <w:proofErr w:type="gramEnd"/>
            <w:r w:rsidRPr="0017791F">
              <w:rPr>
                <w:rFonts w:ascii="Arial" w:hAnsi="Arial" w:cs="Arial"/>
                <w:sz w:val="20"/>
                <w:szCs w:val="20"/>
                <w:lang w:val="en-US"/>
              </w:rPr>
              <w:t xml:space="preserve">. Mindfulness promotes experiences that welcome the present, that allow for a broader and finer understanding of difficulties and tolerance of negative </w:t>
            </w:r>
            <w:r w:rsidRPr="0017791F">
              <w:rPr>
                <w:rFonts w:ascii="Arial" w:hAnsi="Arial" w:cs="Arial"/>
                <w:sz w:val="20"/>
                <w:szCs w:val="20"/>
                <w:lang w:val="en-US"/>
              </w:rPr>
              <w:lastRenderedPageBreak/>
              <w:t>emotions and perceptions as experiences to include and overcome with equanimity in one’s own existential journey.</w:t>
            </w:r>
          </w:p>
        </w:tc>
      </w:tr>
      <w:tr w:rsidR="0017791F" w:rsidRPr="0017791F" w14:paraId="3B753B87" w14:textId="77777777" w:rsidTr="001A0F50">
        <w:trPr>
          <w:trHeight w:val="1206"/>
        </w:trPr>
        <w:tc>
          <w:tcPr>
            <w:tcW w:w="1990" w:type="dxa"/>
            <w:vMerge w:val="restart"/>
          </w:tcPr>
          <w:p w14:paraId="62F815F0" w14:textId="77777777" w:rsidR="0017791F" w:rsidRPr="00D708BE" w:rsidRDefault="0017791F" w:rsidP="00D708BE">
            <w:pPr>
              <w:contextualSpacing/>
              <w:jc w:val="both"/>
              <w:rPr>
                <w:rFonts w:ascii="Arial" w:hAnsi="Arial" w:cs="Arial"/>
                <w:b/>
                <w:sz w:val="20"/>
                <w:szCs w:val="20"/>
              </w:rPr>
            </w:pPr>
            <w:bookmarkStart w:id="0" w:name="_GoBack" w:colFirst="1" w:colLast="1"/>
            <w:r w:rsidRPr="00D708BE">
              <w:rPr>
                <w:rFonts w:ascii="Arial" w:hAnsi="Arial" w:cs="Arial"/>
                <w:b/>
                <w:sz w:val="20"/>
                <w:szCs w:val="20"/>
              </w:rPr>
              <w:lastRenderedPageBreak/>
              <w:t>Healthcare professionals</w:t>
            </w:r>
          </w:p>
          <w:p w14:paraId="626E771F" w14:textId="77777777" w:rsidR="0017791F" w:rsidRPr="00D708BE" w:rsidRDefault="0017791F" w:rsidP="00D708BE">
            <w:pPr>
              <w:contextualSpacing/>
              <w:jc w:val="both"/>
              <w:rPr>
                <w:rFonts w:ascii="Arial" w:hAnsi="Arial" w:cs="Arial"/>
                <w:b/>
                <w:sz w:val="20"/>
                <w:szCs w:val="20"/>
              </w:rPr>
            </w:pPr>
          </w:p>
        </w:tc>
        <w:tc>
          <w:tcPr>
            <w:tcW w:w="2685" w:type="dxa"/>
            <w:shd w:val="clear" w:color="auto" w:fill="auto"/>
          </w:tcPr>
          <w:p w14:paraId="42DCBF6C" w14:textId="77777777" w:rsidR="0017791F" w:rsidRPr="00D708BE" w:rsidRDefault="0017791F" w:rsidP="00FE5D43">
            <w:pPr>
              <w:contextualSpacing/>
              <w:rPr>
                <w:rFonts w:ascii="Arial" w:hAnsi="Arial" w:cs="Arial"/>
                <w:b/>
                <w:sz w:val="20"/>
                <w:szCs w:val="20"/>
              </w:rPr>
            </w:pPr>
            <w:r w:rsidRPr="0017791F">
              <w:rPr>
                <w:rFonts w:ascii="Arial" w:hAnsi="Arial" w:cs="Arial"/>
                <w:b/>
                <w:sz w:val="20"/>
                <w:szCs w:val="20"/>
              </w:rPr>
              <w:t xml:space="preserve">INTER PROFESSIONAL EDUCATION (IPE) </w:t>
            </w:r>
          </w:p>
        </w:tc>
        <w:tc>
          <w:tcPr>
            <w:tcW w:w="5072" w:type="dxa"/>
            <w:shd w:val="clear" w:color="auto" w:fill="auto"/>
          </w:tcPr>
          <w:p w14:paraId="29A85FF0"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Educational and training approach dedicated to both university students and to professional’s lifelong training </w:t>
            </w:r>
            <w:proofErr w:type="gramStart"/>
            <w:r w:rsidRPr="0017791F">
              <w:rPr>
                <w:rFonts w:ascii="Arial" w:hAnsi="Arial" w:cs="Arial"/>
                <w:sz w:val="20"/>
                <w:szCs w:val="20"/>
                <w:lang w:val="en-US"/>
              </w:rPr>
              <w:t>that values</w:t>
            </w:r>
            <w:proofErr w:type="gramEnd"/>
            <w:r w:rsidRPr="0017791F">
              <w:rPr>
                <w:rFonts w:ascii="Arial" w:hAnsi="Arial" w:cs="Arial"/>
                <w:sz w:val="20"/>
                <w:szCs w:val="20"/>
                <w:lang w:val="en-US"/>
              </w:rPr>
              <w:t xml:space="preserve"> an inter-professional exchange, active le</w:t>
            </w:r>
            <w:r w:rsidR="00FE5D43">
              <w:rPr>
                <w:rFonts w:ascii="Arial" w:hAnsi="Arial" w:cs="Arial"/>
                <w:sz w:val="20"/>
                <w:szCs w:val="20"/>
                <w:lang w:val="en-US"/>
              </w:rPr>
              <w:t xml:space="preserve">arning that is situated beyond </w:t>
            </w:r>
            <w:r w:rsidRPr="0017791F">
              <w:rPr>
                <w:rFonts w:ascii="Arial" w:hAnsi="Arial" w:cs="Arial"/>
                <w:sz w:val="20"/>
                <w:szCs w:val="20"/>
                <w:lang w:val="en-US"/>
              </w:rPr>
              <w:t>multi-professional and multi-disciplinary collaboration.</w:t>
            </w:r>
          </w:p>
        </w:tc>
      </w:tr>
      <w:tr w:rsidR="0017791F" w:rsidRPr="0017791F" w14:paraId="14D99FC1" w14:textId="77777777" w:rsidTr="001A0F50">
        <w:trPr>
          <w:trHeight w:val="841"/>
        </w:trPr>
        <w:tc>
          <w:tcPr>
            <w:tcW w:w="1990" w:type="dxa"/>
            <w:vMerge/>
          </w:tcPr>
          <w:p w14:paraId="1B796C82" w14:textId="77777777" w:rsidR="0017791F" w:rsidRPr="00D708BE" w:rsidRDefault="0017791F" w:rsidP="001A0F50">
            <w:pPr>
              <w:contextualSpacing/>
              <w:jc w:val="both"/>
              <w:rPr>
                <w:rFonts w:ascii="Arial" w:hAnsi="Arial" w:cs="Arial"/>
                <w:b/>
                <w:sz w:val="20"/>
                <w:szCs w:val="20"/>
              </w:rPr>
            </w:pPr>
          </w:p>
        </w:tc>
        <w:tc>
          <w:tcPr>
            <w:tcW w:w="2685" w:type="dxa"/>
            <w:shd w:val="clear" w:color="auto" w:fill="auto"/>
          </w:tcPr>
          <w:p w14:paraId="1C446F20" w14:textId="77777777" w:rsidR="0017791F" w:rsidRPr="0017791F" w:rsidRDefault="0017791F" w:rsidP="00FE5D43">
            <w:pPr>
              <w:contextualSpacing/>
              <w:rPr>
                <w:rFonts w:ascii="Arial" w:hAnsi="Arial" w:cs="Arial"/>
                <w:b/>
                <w:sz w:val="20"/>
                <w:szCs w:val="20"/>
              </w:rPr>
            </w:pPr>
            <w:r w:rsidRPr="0017791F">
              <w:rPr>
                <w:rFonts w:ascii="Arial" w:hAnsi="Arial" w:cs="Arial"/>
                <w:b/>
                <w:sz w:val="20"/>
                <w:szCs w:val="20"/>
              </w:rPr>
              <w:t xml:space="preserve">PROBLEM BASED LEARNING (PBL) </w:t>
            </w:r>
          </w:p>
        </w:tc>
        <w:tc>
          <w:tcPr>
            <w:tcW w:w="5072" w:type="dxa"/>
            <w:shd w:val="clear" w:color="auto" w:fill="auto"/>
          </w:tcPr>
          <w:p w14:paraId="0867E570"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Problem-based learning is a teaching method in which a problem is the starting point of the learning process. PBL belongs to the category of teaching methods that are learner-centered. </w:t>
            </w:r>
          </w:p>
        </w:tc>
      </w:tr>
      <w:tr w:rsidR="0017791F" w:rsidRPr="0017791F" w14:paraId="1FA4286B" w14:textId="77777777" w:rsidTr="001A0F50">
        <w:trPr>
          <w:trHeight w:val="995"/>
        </w:trPr>
        <w:tc>
          <w:tcPr>
            <w:tcW w:w="1990" w:type="dxa"/>
            <w:vMerge/>
          </w:tcPr>
          <w:p w14:paraId="7BD26D13" w14:textId="77777777" w:rsidR="0017791F" w:rsidRPr="00D708BE" w:rsidRDefault="0017791F" w:rsidP="001A0F50">
            <w:pPr>
              <w:contextualSpacing/>
              <w:jc w:val="both"/>
              <w:rPr>
                <w:rFonts w:ascii="Arial" w:hAnsi="Arial" w:cs="Arial"/>
                <w:b/>
                <w:sz w:val="20"/>
                <w:szCs w:val="20"/>
              </w:rPr>
            </w:pPr>
          </w:p>
        </w:tc>
        <w:tc>
          <w:tcPr>
            <w:tcW w:w="2685" w:type="dxa"/>
            <w:shd w:val="clear" w:color="auto" w:fill="auto"/>
          </w:tcPr>
          <w:p w14:paraId="52AF7A6C" w14:textId="77777777" w:rsidR="0017791F" w:rsidRPr="0017791F" w:rsidRDefault="0017791F" w:rsidP="00FE5D43">
            <w:pPr>
              <w:contextualSpacing/>
              <w:rPr>
                <w:rFonts w:ascii="Arial" w:hAnsi="Arial" w:cs="Arial"/>
                <w:b/>
                <w:sz w:val="20"/>
                <w:szCs w:val="20"/>
              </w:rPr>
            </w:pPr>
            <w:r w:rsidRPr="0017791F">
              <w:rPr>
                <w:rFonts w:ascii="Arial" w:hAnsi="Arial" w:cs="Arial"/>
                <w:b/>
                <w:sz w:val="20"/>
                <w:szCs w:val="20"/>
              </w:rPr>
              <w:t>EXPERT PATIENTS</w:t>
            </w:r>
          </w:p>
          <w:p w14:paraId="30F85947" w14:textId="77777777" w:rsidR="0017791F" w:rsidRPr="00D708BE" w:rsidRDefault="0017791F" w:rsidP="00FE5D43">
            <w:pPr>
              <w:contextualSpacing/>
              <w:rPr>
                <w:rFonts w:ascii="Arial" w:hAnsi="Arial" w:cs="Arial"/>
                <w:b/>
                <w:sz w:val="20"/>
                <w:szCs w:val="20"/>
              </w:rPr>
            </w:pPr>
          </w:p>
        </w:tc>
        <w:tc>
          <w:tcPr>
            <w:tcW w:w="5072" w:type="dxa"/>
            <w:shd w:val="clear" w:color="auto" w:fill="auto"/>
          </w:tcPr>
          <w:p w14:paraId="4285BCAE" w14:textId="77777777" w:rsidR="0017791F" w:rsidRPr="0017791F" w:rsidRDefault="0017791F" w:rsidP="00DA1D47">
            <w:pPr>
              <w:contextualSpacing/>
              <w:jc w:val="both"/>
              <w:rPr>
                <w:rFonts w:ascii="Arial" w:hAnsi="Arial" w:cs="Arial"/>
                <w:sz w:val="20"/>
                <w:szCs w:val="20"/>
                <w:lang w:val="en-US"/>
              </w:rPr>
            </w:pPr>
            <w:r w:rsidRPr="0017791F">
              <w:rPr>
                <w:rFonts w:ascii="Arial" w:hAnsi="Arial" w:cs="Arial"/>
                <w:sz w:val="20"/>
                <w:szCs w:val="20"/>
                <w:lang w:val="en-US"/>
              </w:rPr>
              <w:t xml:space="preserve">The term “expert patient” was created in 1985 by prof. David </w:t>
            </w:r>
            <w:proofErr w:type="spellStart"/>
            <w:r w:rsidRPr="0017791F">
              <w:rPr>
                <w:rFonts w:ascii="Arial" w:hAnsi="Arial" w:cs="Arial"/>
                <w:sz w:val="20"/>
                <w:szCs w:val="20"/>
                <w:lang w:val="en-US"/>
              </w:rPr>
              <w:t>Tucket</w:t>
            </w:r>
            <w:proofErr w:type="spellEnd"/>
            <w:r w:rsidRPr="0017791F">
              <w:rPr>
                <w:rFonts w:ascii="Arial" w:hAnsi="Arial" w:cs="Arial"/>
                <w:sz w:val="20"/>
                <w:szCs w:val="20"/>
                <w:lang w:val="en-US"/>
              </w:rPr>
              <w:t xml:space="preserve"> of Cambridge University. An Expert patient is one with experience of his illness and the d</w:t>
            </w:r>
            <w:r w:rsidR="00DA1D47">
              <w:rPr>
                <w:rFonts w:ascii="Arial" w:hAnsi="Arial" w:cs="Arial"/>
                <w:sz w:val="20"/>
                <w:szCs w:val="20"/>
                <w:lang w:val="en-US"/>
              </w:rPr>
              <w:t>isease that he is affected with.</w:t>
            </w:r>
          </w:p>
        </w:tc>
      </w:tr>
      <w:tr w:rsidR="00D708BE" w:rsidRPr="0017791F" w14:paraId="29033944" w14:textId="77777777" w:rsidTr="001A0F50">
        <w:trPr>
          <w:trHeight w:val="579"/>
        </w:trPr>
        <w:tc>
          <w:tcPr>
            <w:tcW w:w="1990" w:type="dxa"/>
            <w:vMerge/>
          </w:tcPr>
          <w:p w14:paraId="77AF561A" w14:textId="77777777" w:rsidR="00D708BE" w:rsidRPr="00D708BE" w:rsidRDefault="00D708BE" w:rsidP="001A0F50">
            <w:pPr>
              <w:contextualSpacing/>
              <w:jc w:val="both"/>
              <w:rPr>
                <w:rFonts w:ascii="Arial" w:hAnsi="Arial" w:cs="Arial"/>
                <w:b/>
                <w:sz w:val="20"/>
                <w:szCs w:val="20"/>
              </w:rPr>
            </w:pPr>
          </w:p>
        </w:tc>
        <w:tc>
          <w:tcPr>
            <w:tcW w:w="2685" w:type="dxa"/>
            <w:shd w:val="clear" w:color="auto" w:fill="auto"/>
          </w:tcPr>
          <w:p w14:paraId="1C871D5B" w14:textId="77777777" w:rsidR="00D708BE" w:rsidRPr="00D708BE" w:rsidRDefault="00D708BE" w:rsidP="00FE5D43">
            <w:pPr>
              <w:autoSpaceDE w:val="0"/>
              <w:autoSpaceDN w:val="0"/>
              <w:adjustRightInd w:val="0"/>
              <w:spacing w:after="0" w:line="240" w:lineRule="auto"/>
              <w:rPr>
                <w:rFonts w:ascii="Arial" w:hAnsi="Arial" w:cs="Arial"/>
                <w:b/>
                <w:sz w:val="20"/>
                <w:szCs w:val="20"/>
              </w:rPr>
            </w:pPr>
            <w:r w:rsidRPr="00D708BE">
              <w:rPr>
                <w:rFonts w:ascii="Arial" w:hAnsi="Arial" w:cs="Arial"/>
                <w:b/>
                <w:sz w:val="20"/>
                <w:szCs w:val="20"/>
              </w:rPr>
              <w:t>EXPANSIVE LEARNING</w:t>
            </w:r>
          </w:p>
        </w:tc>
        <w:tc>
          <w:tcPr>
            <w:tcW w:w="5072" w:type="dxa"/>
            <w:shd w:val="clear" w:color="auto" w:fill="auto"/>
          </w:tcPr>
          <w:p w14:paraId="067DF3EB" w14:textId="77777777" w:rsidR="00D708BE" w:rsidRPr="00C65B44" w:rsidRDefault="00D708BE" w:rsidP="00D708BE">
            <w:pPr>
              <w:autoSpaceDE w:val="0"/>
              <w:autoSpaceDN w:val="0"/>
              <w:adjustRightInd w:val="0"/>
              <w:spacing w:after="0" w:line="240" w:lineRule="auto"/>
              <w:rPr>
                <w:rFonts w:ascii="FrutigerNextPro-Regular" w:hAnsi="FrutigerNextPro-Regular" w:cs="FrutigerNextPro-Regular"/>
                <w:color w:val="1D1D1B"/>
                <w:sz w:val="18"/>
                <w:szCs w:val="18"/>
              </w:rPr>
            </w:pPr>
            <w:r w:rsidRPr="00D708BE">
              <w:rPr>
                <w:rFonts w:ascii="Arial" w:hAnsi="Arial" w:cs="Arial"/>
                <w:sz w:val="20"/>
                <w:szCs w:val="20"/>
                <w:lang w:val="en-US"/>
              </w:rPr>
              <w:t xml:space="preserve">Expansive learning is defined by </w:t>
            </w:r>
            <w:proofErr w:type="spellStart"/>
            <w:r w:rsidRPr="00D708BE">
              <w:rPr>
                <w:rFonts w:ascii="Arial" w:hAnsi="Arial" w:cs="Arial"/>
                <w:sz w:val="20"/>
                <w:szCs w:val="20"/>
                <w:lang w:val="en-US"/>
              </w:rPr>
              <w:t>Engeström</w:t>
            </w:r>
            <w:proofErr w:type="spellEnd"/>
            <w:r w:rsidRPr="00D708BE">
              <w:rPr>
                <w:rFonts w:ascii="Arial" w:hAnsi="Arial" w:cs="Arial"/>
                <w:sz w:val="20"/>
                <w:szCs w:val="20"/>
                <w:lang w:val="en-US"/>
              </w:rPr>
              <w:t xml:space="preserve"> as follows: ‘Expansive learning is initiated when some individuals involved in a collective activity take the action of transforming an activity system through reconceptualization of the object and the motive of activity embracing a radically wider horizon of possibilities than in</w:t>
            </w:r>
            <w:r>
              <w:rPr>
                <w:rFonts w:ascii="Arial" w:hAnsi="Arial" w:cs="Arial"/>
                <w:sz w:val="20"/>
                <w:szCs w:val="20"/>
                <w:lang w:val="en-US"/>
              </w:rPr>
              <w:t xml:space="preserve"> the previous mode of activity</w:t>
            </w:r>
          </w:p>
        </w:tc>
      </w:tr>
      <w:tr w:rsidR="0017791F" w:rsidRPr="0017791F" w14:paraId="27F93682" w14:textId="77777777" w:rsidTr="001A0F50">
        <w:trPr>
          <w:trHeight w:val="455"/>
        </w:trPr>
        <w:tc>
          <w:tcPr>
            <w:tcW w:w="1990" w:type="dxa"/>
            <w:vMerge w:val="restart"/>
          </w:tcPr>
          <w:p w14:paraId="7BB8B6B3" w14:textId="77777777" w:rsidR="0017791F" w:rsidRPr="0017791F" w:rsidRDefault="0017791F" w:rsidP="001A0F50">
            <w:pPr>
              <w:contextualSpacing/>
              <w:jc w:val="both"/>
              <w:rPr>
                <w:rFonts w:ascii="Arial" w:hAnsi="Arial" w:cs="Arial"/>
                <w:b/>
                <w:sz w:val="20"/>
                <w:szCs w:val="20"/>
                <w:lang w:val="en-US"/>
              </w:rPr>
            </w:pPr>
            <w:r w:rsidRPr="0017791F">
              <w:rPr>
                <w:rFonts w:ascii="Arial" w:hAnsi="Arial" w:cs="Arial"/>
                <w:b/>
                <w:sz w:val="20"/>
                <w:szCs w:val="20"/>
                <w:lang w:val="en-US"/>
              </w:rPr>
              <w:t>Healthcare Organizations</w:t>
            </w:r>
          </w:p>
        </w:tc>
        <w:tc>
          <w:tcPr>
            <w:tcW w:w="2685" w:type="dxa"/>
            <w:shd w:val="clear" w:color="auto" w:fill="auto"/>
          </w:tcPr>
          <w:p w14:paraId="7845D86D" w14:textId="77777777" w:rsidR="0017791F" w:rsidRPr="0017791F" w:rsidRDefault="0017791F" w:rsidP="00FE5D43">
            <w:pPr>
              <w:contextualSpacing/>
              <w:rPr>
                <w:rFonts w:ascii="Arial" w:hAnsi="Arial" w:cs="Arial"/>
                <w:b/>
                <w:sz w:val="20"/>
                <w:szCs w:val="20"/>
              </w:rPr>
            </w:pPr>
            <w:r w:rsidRPr="0017791F">
              <w:rPr>
                <w:rFonts w:ascii="Arial" w:hAnsi="Arial" w:cs="Arial"/>
                <w:b/>
                <w:sz w:val="20"/>
                <w:szCs w:val="20"/>
              </w:rPr>
              <w:t>PERSONALIZED TREATMENT PLANS</w:t>
            </w:r>
          </w:p>
          <w:p w14:paraId="2A8CC0EA" w14:textId="77777777" w:rsidR="0017791F" w:rsidRPr="0017791F" w:rsidRDefault="0017791F" w:rsidP="00FE5D43">
            <w:pPr>
              <w:contextualSpacing/>
              <w:rPr>
                <w:rFonts w:ascii="Arial" w:hAnsi="Arial" w:cs="Arial"/>
                <w:b/>
                <w:sz w:val="20"/>
                <w:szCs w:val="20"/>
              </w:rPr>
            </w:pPr>
          </w:p>
        </w:tc>
        <w:tc>
          <w:tcPr>
            <w:tcW w:w="5072" w:type="dxa"/>
            <w:shd w:val="clear" w:color="auto" w:fill="auto"/>
          </w:tcPr>
          <w:p w14:paraId="74D19976"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Set of prescriptions, requirements and clinical care actions that are necessary for a better taken care of </w:t>
            </w:r>
            <w:proofErr w:type="spellStart"/>
            <w:r w:rsidRPr="0017791F">
              <w:rPr>
                <w:rFonts w:ascii="Arial" w:hAnsi="Arial" w:cs="Arial"/>
                <w:sz w:val="20"/>
                <w:szCs w:val="20"/>
                <w:lang w:val="en-US"/>
              </w:rPr>
              <w:t>of</w:t>
            </w:r>
            <w:proofErr w:type="spellEnd"/>
            <w:r w:rsidRPr="0017791F">
              <w:rPr>
                <w:rFonts w:ascii="Arial" w:hAnsi="Arial" w:cs="Arial"/>
                <w:sz w:val="20"/>
                <w:szCs w:val="20"/>
                <w:lang w:val="en-US"/>
              </w:rPr>
              <w:t xml:space="preserve"> the person, personalized based on his clinical, assistive and social needs.</w:t>
            </w:r>
          </w:p>
        </w:tc>
      </w:tr>
      <w:tr w:rsidR="0017791F" w:rsidRPr="0017791F" w14:paraId="20507237" w14:textId="77777777" w:rsidTr="001A0F50">
        <w:trPr>
          <w:trHeight w:val="143"/>
        </w:trPr>
        <w:tc>
          <w:tcPr>
            <w:tcW w:w="1990" w:type="dxa"/>
            <w:vMerge/>
          </w:tcPr>
          <w:p w14:paraId="1EACEFC5" w14:textId="77777777" w:rsidR="0017791F" w:rsidRPr="0017791F" w:rsidRDefault="0017791F" w:rsidP="001A0F50">
            <w:pPr>
              <w:contextualSpacing/>
              <w:rPr>
                <w:rFonts w:ascii="Arial" w:hAnsi="Arial" w:cs="Arial"/>
                <w:b/>
                <w:sz w:val="20"/>
                <w:szCs w:val="20"/>
                <w:lang w:val="en-US"/>
              </w:rPr>
            </w:pPr>
          </w:p>
        </w:tc>
        <w:tc>
          <w:tcPr>
            <w:tcW w:w="2685" w:type="dxa"/>
            <w:shd w:val="clear" w:color="auto" w:fill="auto"/>
          </w:tcPr>
          <w:p w14:paraId="6B772A89" w14:textId="77777777" w:rsidR="0017791F" w:rsidRPr="0017791F" w:rsidRDefault="0017791F" w:rsidP="00FE5D43">
            <w:pPr>
              <w:contextualSpacing/>
              <w:rPr>
                <w:rFonts w:ascii="Arial" w:hAnsi="Arial" w:cs="Arial"/>
                <w:b/>
                <w:sz w:val="20"/>
                <w:szCs w:val="20"/>
                <w:lang w:val="en-US"/>
              </w:rPr>
            </w:pPr>
            <w:r w:rsidRPr="0017791F">
              <w:rPr>
                <w:rFonts w:ascii="Arial" w:hAnsi="Arial" w:cs="Arial"/>
                <w:b/>
                <w:sz w:val="20"/>
                <w:szCs w:val="20"/>
                <w:lang w:val="en-US"/>
              </w:rPr>
              <w:t xml:space="preserve">SERVICE CO-DESIGN/CO-PRODUCTION OF SERVICES </w:t>
            </w:r>
          </w:p>
          <w:p w14:paraId="55A7BF08" w14:textId="77777777" w:rsidR="0017791F" w:rsidRPr="0017791F" w:rsidRDefault="0017791F" w:rsidP="00FE5D43">
            <w:pPr>
              <w:contextualSpacing/>
              <w:rPr>
                <w:rFonts w:ascii="Arial" w:hAnsi="Arial" w:cs="Arial"/>
                <w:b/>
                <w:sz w:val="20"/>
                <w:szCs w:val="20"/>
                <w:lang w:val="en-US"/>
              </w:rPr>
            </w:pPr>
          </w:p>
        </w:tc>
        <w:tc>
          <w:tcPr>
            <w:tcW w:w="5072" w:type="dxa"/>
            <w:shd w:val="clear" w:color="auto" w:fill="auto"/>
          </w:tcPr>
          <w:p w14:paraId="1F587A16"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Prospective that focuses on the involvement of all the significant stakeholders in the definition, design, implementation and assessment of services. Namely, a process of co-production through the participation of the citizens in the realization of the provision of services of public utility, in order to guarantee the construction of a welfare characterized by high levels of quality, which is also democratic and qualifying.</w:t>
            </w:r>
          </w:p>
        </w:tc>
      </w:tr>
      <w:tr w:rsidR="0017791F" w:rsidRPr="0017791F" w14:paraId="31ABB737" w14:textId="77777777" w:rsidTr="001A0F50">
        <w:trPr>
          <w:trHeight w:val="143"/>
        </w:trPr>
        <w:tc>
          <w:tcPr>
            <w:tcW w:w="1990" w:type="dxa"/>
          </w:tcPr>
          <w:p w14:paraId="493A61C0" w14:textId="77777777" w:rsidR="0017791F" w:rsidRPr="0017791F" w:rsidRDefault="0017791F" w:rsidP="001A0F50">
            <w:pPr>
              <w:contextualSpacing/>
              <w:jc w:val="both"/>
              <w:rPr>
                <w:rFonts w:ascii="Arial" w:hAnsi="Arial" w:cs="Arial"/>
                <w:b/>
                <w:sz w:val="20"/>
                <w:szCs w:val="20"/>
                <w:lang w:val="en-US"/>
              </w:rPr>
            </w:pPr>
            <w:r w:rsidRPr="0017791F">
              <w:rPr>
                <w:rFonts w:ascii="Arial" w:hAnsi="Arial" w:cs="Arial"/>
                <w:b/>
                <w:sz w:val="20"/>
                <w:szCs w:val="20"/>
              </w:rPr>
              <w:t xml:space="preserve">Society </w:t>
            </w:r>
          </w:p>
        </w:tc>
        <w:tc>
          <w:tcPr>
            <w:tcW w:w="2685" w:type="dxa"/>
            <w:shd w:val="clear" w:color="auto" w:fill="auto"/>
          </w:tcPr>
          <w:p w14:paraId="5FC4DE50" w14:textId="77777777" w:rsidR="0017791F" w:rsidRPr="0017791F" w:rsidRDefault="0017791F" w:rsidP="00FE5D43">
            <w:pPr>
              <w:contextualSpacing/>
              <w:rPr>
                <w:rFonts w:ascii="Arial" w:hAnsi="Arial" w:cs="Arial"/>
                <w:b/>
                <w:sz w:val="20"/>
                <w:szCs w:val="20"/>
              </w:rPr>
            </w:pPr>
            <w:r w:rsidRPr="0017791F">
              <w:rPr>
                <w:rFonts w:ascii="Arial" w:hAnsi="Arial" w:cs="Arial"/>
                <w:b/>
                <w:sz w:val="20"/>
                <w:szCs w:val="20"/>
              </w:rPr>
              <w:t xml:space="preserve">SOCIAL MARKETING CAMPAIGNS </w:t>
            </w:r>
          </w:p>
          <w:p w14:paraId="1E917B8E" w14:textId="77777777" w:rsidR="0017791F" w:rsidRPr="0017791F" w:rsidRDefault="0017791F" w:rsidP="00FE5D43">
            <w:pPr>
              <w:pStyle w:val="Default"/>
              <w:contextualSpacing/>
              <w:rPr>
                <w:rFonts w:ascii="Arial" w:hAnsi="Arial" w:cs="Arial"/>
                <w:b/>
                <w:bCs/>
                <w:color w:val="auto"/>
                <w:sz w:val="20"/>
                <w:szCs w:val="20"/>
                <w:lang w:val="en-GB"/>
              </w:rPr>
            </w:pPr>
          </w:p>
        </w:tc>
        <w:tc>
          <w:tcPr>
            <w:tcW w:w="5072" w:type="dxa"/>
            <w:shd w:val="clear" w:color="auto" w:fill="auto"/>
          </w:tcPr>
          <w:p w14:paraId="4E3DBDEB" w14:textId="77777777" w:rsidR="0017791F" w:rsidRPr="0017791F" w:rsidRDefault="0017791F" w:rsidP="001A0F50">
            <w:pPr>
              <w:contextualSpacing/>
              <w:jc w:val="both"/>
              <w:rPr>
                <w:rFonts w:ascii="Arial" w:hAnsi="Arial" w:cs="Arial"/>
                <w:sz w:val="20"/>
                <w:szCs w:val="20"/>
                <w:lang w:val="en-US"/>
              </w:rPr>
            </w:pPr>
            <w:r w:rsidRPr="0017791F">
              <w:rPr>
                <w:rFonts w:ascii="Arial" w:hAnsi="Arial" w:cs="Arial"/>
                <w:sz w:val="20"/>
                <w:szCs w:val="20"/>
                <w:lang w:val="en-US"/>
              </w:rPr>
              <w:t xml:space="preserve">Implementation of concepts and technologies of marketing and other disciplines to reach behavioral goals aimed at improving individual/collective </w:t>
            </w:r>
            <w:proofErr w:type="gramStart"/>
            <w:r w:rsidRPr="0017791F">
              <w:rPr>
                <w:rFonts w:ascii="Arial" w:hAnsi="Arial" w:cs="Arial"/>
                <w:sz w:val="20"/>
                <w:szCs w:val="20"/>
                <w:lang w:val="en-US"/>
              </w:rPr>
              <w:t>well-being</w:t>
            </w:r>
            <w:proofErr w:type="gramEnd"/>
            <w:r w:rsidRPr="0017791F">
              <w:rPr>
                <w:rFonts w:ascii="Arial" w:hAnsi="Arial" w:cs="Arial"/>
                <w:sz w:val="20"/>
                <w:szCs w:val="20"/>
                <w:lang w:val="en-US"/>
              </w:rPr>
              <w:t xml:space="preserve"> and to contribute in decreasing social inequalities, in the context of the policies of the community in question.</w:t>
            </w:r>
          </w:p>
        </w:tc>
      </w:tr>
      <w:bookmarkEnd w:id="0"/>
    </w:tbl>
    <w:p w14:paraId="23A08077" w14:textId="77777777" w:rsidR="0017791F" w:rsidRPr="002F0036" w:rsidRDefault="0017791F" w:rsidP="0017791F">
      <w:pPr>
        <w:rPr>
          <w:rFonts w:ascii="Arial" w:hAnsi="Arial" w:cs="Arial"/>
          <w:lang w:val="en-US"/>
        </w:rPr>
      </w:pPr>
    </w:p>
    <w:p w14:paraId="5F6D13A5" w14:textId="77777777" w:rsidR="0017791F" w:rsidRPr="00282BAA" w:rsidRDefault="0017791F" w:rsidP="0017791F">
      <w:pPr>
        <w:rPr>
          <w:lang w:val="en-US"/>
        </w:rPr>
      </w:pPr>
    </w:p>
    <w:p w14:paraId="7697868B" w14:textId="77777777" w:rsidR="00F85CFF" w:rsidRDefault="00F85CFF"/>
    <w:sectPr w:rsidR="00F85CFF" w:rsidSect="00282BAA">
      <w:headerReference w:type="default" r:id="rId7"/>
      <w:footerReference w:type="even" r:id="rId8"/>
      <w:footerReference w:type="default" r:id="rId9"/>
      <w:headerReference w:type="first" r:id="rId10"/>
      <w:pgSz w:w="11900" w:h="16840"/>
      <w:pgMar w:top="2269" w:right="1134" w:bottom="1134" w:left="1134" w:header="708" w:footer="708" w:gutter="0"/>
      <w:cols w:space="709"/>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C986B" w14:textId="77777777" w:rsidR="00C3051C" w:rsidRDefault="00C3051C">
      <w:pPr>
        <w:spacing w:after="0" w:line="240" w:lineRule="auto"/>
      </w:pPr>
      <w:r>
        <w:separator/>
      </w:r>
    </w:p>
  </w:endnote>
  <w:endnote w:type="continuationSeparator" w:id="0">
    <w:p w14:paraId="16DCE80E" w14:textId="77777777" w:rsidR="00C3051C" w:rsidRDefault="00C30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FrutigerNextPro-Regular">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D2F64" w14:textId="77777777" w:rsidR="0028037D" w:rsidRDefault="0017791F" w:rsidP="009D589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42CFDFE0" w14:textId="77777777" w:rsidR="0028037D" w:rsidRDefault="00FE5D43">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311432" w14:textId="77777777" w:rsidR="0028037D" w:rsidRDefault="0017791F" w:rsidP="009D589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E5D43">
      <w:rPr>
        <w:rStyle w:val="Numeropagina"/>
        <w:noProof/>
      </w:rPr>
      <w:t>2</w:t>
    </w:r>
    <w:r>
      <w:rPr>
        <w:rStyle w:val="Numeropagina"/>
      </w:rPr>
      <w:fldChar w:fldCharType="end"/>
    </w:r>
  </w:p>
  <w:p w14:paraId="2BE0884C" w14:textId="77777777" w:rsidR="0028037D" w:rsidRDefault="00FE5D43">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116806" w14:textId="77777777" w:rsidR="00C3051C" w:rsidRDefault="00C3051C">
      <w:pPr>
        <w:spacing w:after="0" w:line="240" w:lineRule="auto"/>
      </w:pPr>
      <w:r>
        <w:separator/>
      </w:r>
    </w:p>
  </w:footnote>
  <w:footnote w:type="continuationSeparator" w:id="0">
    <w:p w14:paraId="17B6F137" w14:textId="77777777" w:rsidR="00C3051C" w:rsidRDefault="00C3051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CA1B5" w14:textId="77777777" w:rsidR="0028037D" w:rsidRDefault="00FE5D43">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3FD6A" w14:textId="77777777" w:rsidR="0028037D" w:rsidRPr="005328DC" w:rsidRDefault="0017791F" w:rsidP="00A3729F">
    <w:pPr>
      <w:pStyle w:val="Intestazione"/>
      <w:jc w:val="center"/>
      <w:rPr>
        <w:sz w:val="36"/>
      </w:rPr>
    </w:pPr>
    <w:r>
      <w:rPr>
        <w:sz w:val="36"/>
      </w:rPr>
      <w:t>PROTOCOLLO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91F"/>
    <w:rsid w:val="0017791F"/>
    <w:rsid w:val="00B10353"/>
    <w:rsid w:val="00C3051C"/>
    <w:rsid w:val="00D708BE"/>
    <w:rsid w:val="00DA1D47"/>
    <w:rsid w:val="00F85CFF"/>
    <w:rsid w:val="00FE5D4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B6A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791F"/>
    <w:pPr>
      <w:spacing w:after="160" w:line="259" w:lineRule="auto"/>
    </w:pPr>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7791F"/>
    <w:pPr>
      <w:tabs>
        <w:tab w:val="center" w:pos="4819"/>
        <w:tab w:val="right" w:pos="9638"/>
      </w:tabs>
    </w:pPr>
  </w:style>
  <w:style w:type="character" w:customStyle="1" w:styleId="IntestazioneCarattere">
    <w:name w:val="Intestazione Carattere"/>
    <w:basedOn w:val="Caratterepredefinitoparagrafo"/>
    <w:link w:val="Intestazione"/>
    <w:rsid w:val="0017791F"/>
    <w:rPr>
      <w:lang w:val="en-GB"/>
    </w:rPr>
  </w:style>
  <w:style w:type="paragraph" w:styleId="Pidipagina">
    <w:name w:val="footer"/>
    <w:basedOn w:val="Normale"/>
    <w:link w:val="PidipaginaCarattere"/>
    <w:unhideWhenUsed/>
    <w:rsid w:val="0017791F"/>
    <w:pPr>
      <w:tabs>
        <w:tab w:val="center" w:pos="4819"/>
        <w:tab w:val="right" w:pos="9638"/>
      </w:tabs>
    </w:pPr>
  </w:style>
  <w:style w:type="character" w:customStyle="1" w:styleId="PidipaginaCarattere">
    <w:name w:val="Piè di pagina Carattere"/>
    <w:basedOn w:val="Caratterepredefinitoparagrafo"/>
    <w:link w:val="Pidipagina"/>
    <w:rsid w:val="0017791F"/>
    <w:rPr>
      <w:lang w:val="en-GB"/>
    </w:rPr>
  </w:style>
  <w:style w:type="paragraph" w:customStyle="1" w:styleId="Default">
    <w:name w:val="Default"/>
    <w:rsid w:val="0017791F"/>
    <w:pPr>
      <w:autoSpaceDE w:val="0"/>
      <w:autoSpaceDN w:val="0"/>
      <w:adjustRightInd w:val="0"/>
      <w:spacing w:after="0" w:line="240" w:lineRule="auto"/>
    </w:pPr>
    <w:rPr>
      <w:rFonts w:ascii="Tahoma" w:hAnsi="Tahoma" w:cs="Tahoma"/>
      <w:color w:val="000000"/>
      <w:sz w:val="24"/>
      <w:szCs w:val="24"/>
    </w:rPr>
  </w:style>
  <w:style w:type="character" w:styleId="Numeropagina">
    <w:name w:val="page number"/>
    <w:basedOn w:val="Caratterepredefinitoparagrafo"/>
    <w:uiPriority w:val="99"/>
    <w:semiHidden/>
    <w:unhideWhenUsed/>
    <w:rsid w:val="0017791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791F"/>
    <w:pPr>
      <w:spacing w:after="160" w:line="259" w:lineRule="auto"/>
    </w:pPr>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17791F"/>
    <w:pPr>
      <w:tabs>
        <w:tab w:val="center" w:pos="4819"/>
        <w:tab w:val="right" w:pos="9638"/>
      </w:tabs>
    </w:pPr>
  </w:style>
  <w:style w:type="character" w:customStyle="1" w:styleId="IntestazioneCarattere">
    <w:name w:val="Intestazione Carattere"/>
    <w:basedOn w:val="Caratterepredefinitoparagrafo"/>
    <w:link w:val="Intestazione"/>
    <w:rsid w:val="0017791F"/>
    <w:rPr>
      <w:lang w:val="en-GB"/>
    </w:rPr>
  </w:style>
  <w:style w:type="paragraph" w:styleId="Pidipagina">
    <w:name w:val="footer"/>
    <w:basedOn w:val="Normale"/>
    <w:link w:val="PidipaginaCarattere"/>
    <w:unhideWhenUsed/>
    <w:rsid w:val="0017791F"/>
    <w:pPr>
      <w:tabs>
        <w:tab w:val="center" w:pos="4819"/>
        <w:tab w:val="right" w:pos="9638"/>
      </w:tabs>
    </w:pPr>
  </w:style>
  <w:style w:type="character" w:customStyle="1" w:styleId="PidipaginaCarattere">
    <w:name w:val="Piè di pagina Carattere"/>
    <w:basedOn w:val="Caratterepredefinitoparagrafo"/>
    <w:link w:val="Pidipagina"/>
    <w:rsid w:val="0017791F"/>
    <w:rPr>
      <w:lang w:val="en-GB"/>
    </w:rPr>
  </w:style>
  <w:style w:type="paragraph" w:customStyle="1" w:styleId="Default">
    <w:name w:val="Default"/>
    <w:rsid w:val="0017791F"/>
    <w:pPr>
      <w:autoSpaceDE w:val="0"/>
      <w:autoSpaceDN w:val="0"/>
      <w:adjustRightInd w:val="0"/>
      <w:spacing w:after="0" w:line="240" w:lineRule="auto"/>
    </w:pPr>
    <w:rPr>
      <w:rFonts w:ascii="Tahoma" w:hAnsi="Tahoma" w:cs="Tahoma"/>
      <w:color w:val="000000"/>
      <w:sz w:val="24"/>
      <w:szCs w:val="24"/>
    </w:rPr>
  </w:style>
  <w:style w:type="character" w:styleId="Numeropagina">
    <w:name w:val="page number"/>
    <w:basedOn w:val="Caratterepredefinitoparagrafo"/>
    <w:uiPriority w:val="99"/>
    <w:semiHidden/>
    <w:unhideWhenUsed/>
    <w:rsid w:val="001779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740</Words>
  <Characters>4222</Characters>
  <Application>Microsoft Macintosh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Universita' Cattolica - Milano</Company>
  <LinksUpToDate>false</LinksUpToDate>
  <CharactersWithSpaces>4953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Graffigna Guendalina</dc:creator>
  <cp:lastModifiedBy>Serena Barello</cp:lastModifiedBy>
  <cp:revision>4</cp:revision>
  <dcterms:created xsi:type="dcterms:W3CDTF">2018-02-07T11:34:00Z</dcterms:created>
  <dcterms:modified xsi:type="dcterms:W3CDTF">2018-02-09T11:41:00Z</dcterms:modified>
</cp:coreProperties>
</file>